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891B" w14:textId="72672D5E" w:rsidR="00DF018A" w:rsidRPr="001B14C1" w:rsidRDefault="00DF018A" w:rsidP="00DF018A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 w:rsidR="000D5C67">
        <w:rPr>
          <w:rFonts w:eastAsia="SimSun"/>
          <w:lang w:eastAsia="zh-CN"/>
        </w:rPr>
        <w:t>-bis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bookmarkStart w:id="2" w:name="_GoBack"/>
      <w:bookmarkEnd w:id="2"/>
      <w:r w:rsidRPr="00237779">
        <w:t>R4-19</w:t>
      </w:r>
      <w:r w:rsidR="000C07E1" w:rsidRPr="00237779">
        <w:t>0</w:t>
      </w:r>
      <w:r w:rsidR="00237779" w:rsidRPr="00237779">
        <w:t>4318</w:t>
      </w:r>
    </w:p>
    <w:p w14:paraId="35BF833C" w14:textId="026277B1" w:rsidR="00DF018A" w:rsidRPr="008E18F2" w:rsidRDefault="004C4473" w:rsidP="00DF018A">
      <w:pPr>
        <w:pStyle w:val="a"/>
        <w:rPr>
          <w:rFonts w:eastAsia="SimSun"/>
          <w:lang w:eastAsia="zh-CN"/>
        </w:rPr>
      </w:pPr>
      <w:r>
        <w:rPr>
          <w:rFonts w:cs="Arial"/>
        </w:rPr>
        <w:t>Xi’an</w:t>
      </w:r>
      <w:r w:rsidR="00DF018A" w:rsidRPr="00E23C3E">
        <w:rPr>
          <w:rFonts w:hint="eastAsia"/>
        </w:rPr>
        <w:t>,</w:t>
      </w:r>
      <w:r w:rsidR="00DF018A"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China</w:t>
      </w:r>
      <w:r w:rsidR="00DF018A" w:rsidRPr="00A62DA7">
        <w:t xml:space="preserve">, </w:t>
      </w:r>
      <w:r>
        <w:rPr>
          <w:rFonts w:cs="Arial"/>
        </w:rPr>
        <w:t>8</w:t>
      </w:r>
      <w:r w:rsidR="00DF018A" w:rsidRPr="00084769">
        <w:rPr>
          <w:rFonts w:cs="Arial"/>
          <w:vertAlign w:val="superscript"/>
        </w:rPr>
        <w:t>th</w:t>
      </w:r>
      <w:r w:rsidR="00DF018A"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4C4473">
        <w:rPr>
          <w:rFonts w:cs="Arial"/>
          <w:vertAlign w:val="superscript"/>
        </w:rPr>
        <w:t>th</w:t>
      </w:r>
      <w:r w:rsidR="00DF018A">
        <w:rPr>
          <w:rFonts w:cs="Arial"/>
        </w:rPr>
        <w:t xml:space="preserve"> </w:t>
      </w:r>
      <w:r>
        <w:rPr>
          <w:rFonts w:cs="Arial"/>
        </w:rPr>
        <w:t>April</w:t>
      </w:r>
      <w:r w:rsidR="00DF018A">
        <w:t>, 2019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</w:p>
    <w:p w14:paraId="48427630" w14:textId="285BC5ED" w:rsidR="0043450E" w:rsidRDefault="0043450E" w:rsidP="0043450E">
      <w:pPr>
        <w:rPr>
          <w:color w:val="000000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937974">
        <w:rPr>
          <w:sz w:val="22"/>
        </w:rPr>
        <w:t xml:space="preserve">On </w:t>
      </w:r>
      <w:r w:rsidR="000A4A61">
        <w:rPr>
          <w:sz w:val="22"/>
        </w:rPr>
        <w:t>IAB-node RF requirements</w:t>
      </w:r>
    </w:p>
    <w:p w14:paraId="38BCE621" w14:textId="216158F7" w:rsidR="00C24D31" w:rsidRPr="000D5C67" w:rsidRDefault="00C24D31" w:rsidP="0043450E">
      <w:pPr>
        <w:rPr>
          <w:sz w:val="22"/>
        </w:rPr>
      </w:pPr>
      <w:r w:rsidRPr="0057669F">
        <w:rPr>
          <w:b/>
          <w:color w:val="000000"/>
          <w:lang w:val="en-US"/>
        </w:rPr>
        <w:t>Agenda item:</w:t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BD0FF7" w:rsidRPr="00BD0FF7">
        <w:rPr>
          <w:sz w:val="22"/>
        </w:rPr>
        <w:t>8.5.2</w:t>
      </w:r>
    </w:p>
    <w:p w14:paraId="41D55FE6" w14:textId="56E33765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0D5C67">
        <w:rPr>
          <w:sz w:val="22"/>
        </w:rPr>
        <w:t>Approval</w:t>
      </w:r>
    </w:p>
    <w:p w14:paraId="31CCC13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81A2A01" w14:textId="5C1CFE28" w:rsidR="00CF249F" w:rsidRDefault="00937974" w:rsidP="000B5E8E">
      <w:r>
        <w:t>RAN#82 has approved a new work item description for Integrated Access and Backhaul for NR [1] which was further updated in RAN#83 [2]. Part of the work item objectives is to define specifications for RF and RRM requirements.</w:t>
      </w:r>
      <w:r w:rsidR="000D5C67">
        <w:t xml:space="preserve"> In this contribution we discuss and provide our views on</w:t>
      </w:r>
      <w:r w:rsidR="00507108">
        <w:t xml:space="preserve"> </w:t>
      </w:r>
      <w:r w:rsidR="00845E2E">
        <w:t>what should be the basis for deriving performance requirements</w:t>
      </w:r>
      <w:r>
        <w:t xml:space="preserve"> and how the requirements could be categorized.</w:t>
      </w:r>
    </w:p>
    <w:p w14:paraId="1ECA57B6" w14:textId="77777777" w:rsidR="001C3296" w:rsidRDefault="001C3296" w:rsidP="001C3296">
      <w:pPr>
        <w:pStyle w:val="Heading1"/>
      </w:pPr>
      <w:r>
        <w:t>2</w:t>
      </w:r>
      <w:r>
        <w:tab/>
        <w:t>Discussion</w:t>
      </w:r>
    </w:p>
    <w:p w14:paraId="136D9A4D" w14:textId="58312262" w:rsidR="000D0627" w:rsidRDefault="000D0627" w:rsidP="000D0627">
      <w:r>
        <w:t xml:space="preserve">Network using IAB consists IAB-donor nodes, IAB-nodes and UEs served by the network nodes. The IAB network leverages the split gNB architecture where the CU is at the IAB-donor and the DU is at the IAB-node. </w:t>
      </w:r>
      <w:r w:rsidR="00B6504C">
        <w:t xml:space="preserve">The IAB DU hosts the lower radio protocol layers such as RLC, MAC and PHY. </w:t>
      </w:r>
      <w:r>
        <w:t xml:space="preserve">The IAB-donor is the node terminating the core network connections. An IAB-node connects to the parent-node(s) to establish BH connections where the parent node can be either IAB-donor or another IAB-node. The connection to the parent node is done by the Mobile Termination (MT) part of the IAB-node. </w:t>
      </w:r>
      <w:r w:rsidRPr="000D0627">
        <w:t xml:space="preserve">The MT function has been defined as a component of the Mobile Equipment. In the context of </w:t>
      </w:r>
      <w:r>
        <w:t>IAB</w:t>
      </w:r>
      <w:r w:rsidRPr="000D0627">
        <w:t xml:space="preserve">, MT is referred to as a function residing on an IAB-node that terminates the radio interface layers of the backhaul </w:t>
      </w:r>
      <w:proofErr w:type="spellStart"/>
      <w:r w:rsidRPr="000D0627">
        <w:t>Uu</w:t>
      </w:r>
      <w:proofErr w:type="spellEnd"/>
      <w:r w:rsidRPr="000D0627">
        <w:t>.</w:t>
      </w:r>
      <w:r>
        <w:t xml:space="preserve"> The DU part of the IAB-node, jointly with CU at the IAB-donor, can serve a cell for access UEs and other IAB-node(s) for potential next hop BH connections. Radio resource usage of the BH link is controlled and scheduled by the parent node.</w:t>
      </w:r>
    </w:p>
    <w:p w14:paraId="10F2CD83" w14:textId="71ACBDA2" w:rsidR="00F832DE" w:rsidRDefault="00F832DE" w:rsidP="00F832DE">
      <w:r>
        <w:t>Physically, the network could look like in Figure 1.</w:t>
      </w:r>
    </w:p>
    <w:p w14:paraId="4DC2D7E1" w14:textId="77777777" w:rsidR="00F832DE" w:rsidRDefault="00F832DE" w:rsidP="00F832DE">
      <w:pPr>
        <w:jc w:val="center"/>
      </w:pPr>
      <w:r>
        <w:rPr>
          <w:noProof/>
        </w:rPr>
        <w:drawing>
          <wp:inline distT="0" distB="0" distL="0" distR="0" wp14:anchorId="443596EA" wp14:editId="56EB737C">
            <wp:extent cx="2838450" cy="19081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0F280" w14:textId="282D5862" w:rsidR="00F832DE" w:rsidRDefault="00F832DE" w:rsidP="00F832DE">
      <w:pPr>
        <w:jc w:val="center"/>
        <w:rPr>
          <w:b/>
        </w:rPr>
      </w:pPr>
      <w:r w:rsidRPr="007B4BBC">
        <w:rPr>
          <w:b/>
        </w:rPr>
        <w:t xml:space="preserve">Figure </w:t>
      </w:r>
      <w:r>
        <w:rPr>
          <w:b/>
        </w:rPr>
        <w:t>1</w:t>
      </w:r>
      <w:r w:rsidRPr="007B4BBC">
        <w:rPr>
          <w:b/>
        </w:rPr>
        <w:t>: Donor, two IAB-nodes and UEs in a network.</w:t>
      </w:r>
    </w:p>
    <w:p w14:paraId="6EA471A1" w14:textId="2E2884FA" w:rsidR="00F832DE" w:rsidRDefault="00F832DE" w:rsidP="00F832DE">
      <w:r>
        <w:t>The parent/child terminology is further visualized in Figure 2.</w:t>
      </w:r>
    </w:p>
    <w:p w14:paraId="0CD454BF" w14:textId="638239DE" w:rsidR="00F832DE" w:rsidRDefault="00F832DE" w:rsidP="00F832DE">
      <w:pPr>
        <w:jc w:val="center"/>
      </w:pPr>
      <w:r>
        <w:rPr>
          <w:noProof/>
        </w:rPr>
        <w:drawing>
          <wp:inline distT="0" distB="0" distL="0" distR="0" wp14:anchorId="1B0B59FD" wp14:editId="4E7D9DCE">
            <wp:extent cx="3623481" cy="110595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00396" cy="112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2EBB1" w14:textId="3241615B" w:rsidR="00F832DE" w:rsidRPr="00F832DE" w:rsidRDefault="00F832DE" w:rsidP="00F832DE">
      <w:pPr>
        <w:jc w:val="center"/>
        <w:rPr>
          <w:b/>
        </w:rPr>
      </w:pPr>
      <w:r w:rsidRPr="00F832DE">
        <w:rPr>
          <w:b/>
        </w:rPr>
        <w:t>Figure 2: Parent and child nodes.</w:t>
      </w:r>
    </w:p>
    <w:p w14:paraId="21B3BA40" w14:textId="1478A6AF" w:rsidR="00845E2E" w:rsidRDefault="00845E2E" w:rsidP="0089736D">
      <w:pPr>
        <w:jc w:val="both"/>
      </w:pPr>
      <w:r>
        <w:lastRenderedPageBreak/>
        <w:t>As the IAB-node transmissions</w:t>
      </w:r>
      <w:r w:rsidR="00B6504C">
        <w:t xml:space="preserve"> on the access link</w:t>
      </w:r>
      <w:r>
        <w:t>, i.e. transmissions from IAB-</w:t>
      </w:r>
      <w:r w:rsidR="00101848">
        <w:t xml:space="preserve">DU </w:t>
      </w:r>
      <w:r>
        <w:t>to UEs, are identical to NR base station transmissions</w:t>
      </w:r>
      <w:r w:rsidR="00937974">
        <w:t>.</w:t>
      </w:r>
      <w:r>
        <w:t xml:space="preserve"> </w:t>
      </w:r>
      <w:r w:rsidR="00937974">
        <w:t>Due to the re-use of normal base station functionality, also the RF performance requirements specified for NR base stations can be re-used for IAB-node access transmission</w:t>
      </w:r>
      <w:r w:rsidR="008D6E47">
        <w:t xml:space="preserve"> and reception</w:t>
      </w:r>
      <w:r w:rsidR="00937974">
        <w:t>.</w:t>
      </w:r>
      <w:r w:rsidR="008D6E47">
        <w:t xml:space="preserve"> </w:t>
      </w:r>
    </w:p>
    <w:p w14:paraId="10FAC5B8" w14:textId="323198E4" w:rsidR="008D6E47" w:rsidRPr="008D6E47" w:rsidRDefault="008D6E47" w:rsidP="0089736D">
      <w:pPr>
        <w:jc w:val="both"/>
        <w:rPr>
          <w:b/>
        </w:rPr>
      </w:pPr>
      <w:r w:rsidRPr="00937974">
        <w:rPr>
          <w:b/>
        </w:rPr>
        <w:t xml:space="preserve">Observation </w:t>
      </w:r>
      <w:r>
        <w:rPr>
          <w:b/>
        </w:rPr>
        <w:t>1</w:t>
      </w:r>
      <w:r w:rsidRPr="00937974">
        <w:rPr>
          <w:b/>
        </w:rPr>
        <w:t>:</w:t>
      </w:r>
      <w:r>
        <w:rPr>
          <w:b/>
        </w:rPr>
        <w:t xml:space="preserve"> From RF-perspective, IAB-access does not differ from </w:t>
      </w:r>
      <w:r w:rsidR="00A97C2D">
        <w:rPr>
          <w:b/>
        </w:rPr>
        <w:t>already specified</w:t>
      </w:r>
      <w:r>
        <w:rPr>
          <w:b/>
        </w:rPr>
        <w:t xml:space="preserve"> BS RF.</w:t>
      </w:r>
    </w:p>
    <w:p w14:paraId="7F848628" w14:textId="4034E3C8" w:rsidR="008D6E47" w:rsidRPr="008D6E47" w:rsidRDefault="008D6E47" w:rsidP="0089736D">
      <w:pPr>
        <w:jc w:val="both"/>
        <w:rPr>
          <w:b/>
        </w:rPr>
      </w:pPr>
      <w:r>
        <w:rPr>
          <w:b/>
        </w:rPr>
        <w:t>Proposal 1: Re-use BS RF requirements for IAB-access part.</w:t>
      </w:r>
    </w:p>
    <w:p w14:paraId="0DB90101" w14:textId="6CF3E9F6" w:rsidR="00AB5402" w:rsidRDefault="00A10A2C" w:rsidP="0089736D">
      <w:pPr>
        <w:jc w:val="both"/>
      </w:pPr>
      <w:r>
        <w:t xml:space="preserve">For IAB-MT, i.e. for the backhaul link between </w:t>
      </w:r>
      <w:r w:rsidR="00101848">
        <w:t xml:space="preserve">the </w:t>
      </w:r>
      <w:r>
        <w:t xml:space="preserve">IAB-node </w:t>
      </w:r>
      <w:r w:rsidR="00101848">
        <w:t>and its parent node</w:t>
      </w:r>
      <w:r>
        <w:t xml:space="preserve">, the RF requirements are not as straightforward. Naturally one practical implementation </w:t>
      </w:r>
      <w:r w:rsidR="00101848">
        <w:t xml:space="preserve">option </w:t>
      </w:r>
      <w:r>
        <w:t xml:space="preserve">is to share the same RF HW between the access and backhaul. In such case it is logical that the RF requirements are similar </w:t>
      </w:r>
      <w:r w:rsidR="00101848">
        <w:t xml:space="preserve">for both </w:t>
      </w:r>
      <w:r>
        <w:t>IAB-MT and IAB-</w:t>
      </w:r>
      <w:r w:rsidR="00101848">
        <w:t>DU</w:t>
      </w:r>
      <w:r>
        <w:t xml:space="preserve">. Furthermore, </w:t>
      </w:r>
      <w:r w:rsidR="00101848">
        <w:t xml:space="preserve">burden for the </w:t>
      </w:r>
      <w:r>
        <w:t xml:space="preserve">conformance testing should not be doubled in such a case. We see it still important to consider whether BS RF requirements are </w:t>
      </w:r>
      <w:r w:rsidR="00F832DE">
        <w:t xml:space="preserve">fully </w:t>
      </w:r>
      <w:proofErr w:type="gramStart"/>
      <w:r>
        <w:t>sufficient</w:t>
      </w:r>
      <w:proofErr w:type="gramEnd"/>
      <w:r>
        <w:t xml:space="preserve"> for IAB-MT. For example, power control may be required to facilitate intra-operator co-existence.</w:t>
      </w:r>
    </w:p>
    <w:p w14:paraId="4801F629" w14:textId="00DBFA65" w:rsidR="00A10A2C" w:rsidRDefault="00A10A2C" w:rsidP="0089736D">
      <w:pPr>
        <w:jc w:val="both"/>
        <w:rPr>
          <w:b/>
        </w:rPr>
      </w:pPr>
      <w:r w:rsidRPr="00A10A2C">
        <w:rPr>
          <w:b/>
        </w:rPr>
        <w:t xml:space="preserve">Observation </w:t>
      </w:r>
      <w:r w:rsidR="00A97C2D">
        <w:rPr>
          <w:b/>
        </w:rPr>
        <w:t>2</w:t>
      </w:r>
      <w:r w:rsidRPr="00A10A2C">
        <w:rPr>
          <w:b/>
        </w:rPr>
        <w:t>:</w:t>
      </w:r>
      <w:r>
        <w:rPr>
          <w:b/>
        </w:rPr>
        <w:t xml:space="preserve"> BS RF requirements can be re-used for IAB-MT, but RAN4 still needs to consider whether amendments such as power control are needed.</w:t>
      </w:r>
    </w:p>
    <w:p w14:paraId="1D381DB2" w14:textId="08FC662B" w:rsidR="0060382B" w:rsidRDefault="00A10A2C" w:rsidP="0060382B">
      <w:pPr>
        <w:jc w:val="both"/>
      </w:pPr>
      <w:r>
        <w:t xml:space="preserve">Additionally, we also see that there is an option to implement to IAB-MT using </w:t>
      </w:r>
      <w:r w:rsidR="000A7F46">
        <w:t xml:space="preserve">separate </w:t>
      </w:r>
      <w:r>
        <w:t>RF HW, which is not shared with IAB-</w:t>
      </w:r>
      <w:r w:rsidR="000A7F46">
        <w:t>DU</w:t>
      </w:r>
      <w:r>
        <w:t xml:space="preserve">. This option could be valid e.g. in a scenario where the parent-node is </w:t>
      </w:r>
      <w:r w:rsidR="00701131">
        <w:t xml:space="preserve">in a direction which is not within the coverage of the access-transmissions. </w:t>
      </w:r>
      <w:r w:rsidR="00BE5FB6">
        <w:t xml:space="preserve">When the RF HW is not shared, same RF requirements cannot automatically apply. IAB-MT is likely to have line-of-sight propagation conditions towards the parent node, and therefore IAB-MT may not require similar output power capability </w:t>
      </w:r>
      <w:r w:rsidR="0060382B">
        <w:t>as IAB-access. IAB-MT transmissions take place during UL-</w:t>
      </w:r>
      <w:r w:rsidR="00F832DE">
        <w:t>timeslots</w:t>
      </w:r>
      <w:r w:rsidR="0060382B">
        <w:t xml:space="preserve">, </w:t>
      </w:r>
      <w:r w:rsidR="009B7379">
        <w:t xml:space="preserve">and </w:t>
      </w:r>
      <w:r w:rsidR="0060382B">
        <w:t>parent-node may simultaneously receive transmissions from UEs and IAB-MT. It is not obvious that from co-existence perspective IAB-MT RF requirements would need to be as stringent as for BS RF</w:t>
      </w:r>
      <w:r w:rsidR="00A97C2D">
        <w:t xml:space="preserve"> requirements</w:t>
      </w:r>
      <w:r w:rsidR="0060382B">
        <w:t>.</w:t>
      </w:r>
    </w:p>
    <w:p w14:paraId="78793BB5" w14:textId="2391464D" w:rsidR="0060382B" w:rsidRDefault="00A97C2D" w:rsidP="0060382B">
      <w:pPr>
        <w:jc w:val="both"/>
        <w:rPr>
          <w:b/>
        </w:rPr>
      </w:pPr>
      <w:r w:rsidRPr="00BE5FB6">
        <w:rPr>
          <w:b/>
        </w:rPr>
        <w:t xml:space="preserve">Observation </w:t>
      </w:r>
      <w:r>
        <w:rPr>
          <w:b/>
        </w:rPr>
        <w:t>3</w:t>
      </w:r>
      <w:r w:rsidRPr="00BE5FB6">
        <w:rPr>
          <w:b/>
        </w:rPr>
        <w:t>:</w:t>
      </w:r>
      <w:r>
        <w:t xml:space="preserve"> </w:t>
      </w:r>
      <w:r>
        <w:rPr>
          <w:b/>
        </w:rPr>
        <w:t xml:space="preserve">It may be beneficial to consider a second IAB-class, where IAB-MT RF </w:t>
      </w:r>
      <w:r w:rsidR="000A7F46">
        <w:rPr>
          <w:b/>
        </w:rPr>
        <w:t xml:space="preserve">has </w:t>
      </w:r>
      <w:r w:rsidR="005C3C47">
        <w:rPr>
          <w:b/>
        </w:rPr>
        <w:t>different</w:t>
      </w:r>
      <w:r>
        <w:rPr>
          <w:b/>
        </w:rPr>
        <w:t xml:space="preserve"> </w:t>
      </w:r>
      <w:r w:rsidR="000A7F46">
        <w:rPr>
          <w:b/>
        </w:rPr>
        <w:t xml:space="preserve">requirements </w:t>
      </w:r>
      <w:r>
        <w:rPr>
          <w:b/>
        </w:rPr>
        <w:t>compared to BS RF requirements.</w:t>
      </w:r>
    </w:p>
    <w:p w14:paraId="5164472B" w14:textId="1A710005" w:rsidR="00A97C2D" w:rsidRPr="00BE5FB6" w:rsidRDefault="00A97C2D" w:rsidP="00A97C2D">
      <w:pPr>
        <w:jc w:val="both"/>
        <w:rPr>
          <w:b/>
        </w:rPr>
      </w:pPr>
      <w:r w:rsidRPr="00BE5FB6">
        <w:rPr>
          <w:b/>
        </w:rPr>
        <w:t xml:space="preserve">Proposal 2: RAN4 to consider creating two IAB-classes, one re-using BS RF requirements for IAB-MT and another one with </w:t>
      </w:r>
      <w:r w:rsidR="005C3C47">
        <w:rPr>
          <w:b/>
        </w:rPr>
        <w:t>different</w:t>
      </w:r>
      <w:r w:rsidRPr="00BE5FB6">
        <w:rPr>
          <w:b/>
        </w:rPr>
        <w:t xml:space="preserve"> RF requirements</w:t>
      </w:r>
    </w:p>
    <w:p w14:paraId="4DC9CA57" w14:textId="586ABA08" w:rsidR="00A97C2D" w:rsidRPr="00A97C2D" w:rsidRDefault="00A97C2D" w:rsidP="0060382B">
      <w:pPr>
        <w:jc w:val="both"/>
        <w:rPr>
          <w:b/>
        </w:rPr>
      </w:pPr>
      <w:r>
        <w:t xml:space="preserve">As the </w:t>
      </w:r>
      <w:r w:rsidR="00237803">
        <w:t xml:space="preserve">IAB-DU </w:t>
      </w:r>
      <w:r>
        <w:t>part functions as regular base station, transmissions take place during DL-</w:t>
      </w:r>
      <w:r w:rsidR="00F832DE">
        <w:t>timeslots.</w:t>
      </w:r>
      <w:r>
        <w:t xml:space="preserve"> Similarly, IAB-node is expected to receive transmissions from parent-node during DL-</w:t>
      </w:r>
      <w:r w:rsidR="00F832DE">
        <w:t>timeslots</w:t>
      </w:r>
      <w:r>
        <w:t>. It should be noted</w:t>
      </w:r>
      <w:r w:rsidR="00F832DE">
        <w:t xml:space="preserve"> that</w:t>
      </w:r>
      <w:r>
        <w:t xml:space="preserve"> due to the half-duplex </w:t>
      </w:r>
      <w:r w:rsidR="00237803">
        <w:t xml:space="preserve">restriction, </w:t>
      </w:r>
      <w:r>
        <w:t>IAB-node</w:t>
      </w:r>
      <w:r w:rsidR="009B7379">
        <w:t xml:space="preserve"> supporting TDM between Parent and Child links </w:t>
      </w:r>
      <w:r>
        <w:t xml:space="preserve">cannot receive signals </w:t>
      </w:r>
      <w:r w:rsidR="00237803">
        <w:t xml:space="preserve">on the </w:t>
      </w:r>
      <w:r>
        <w:t xml:space="preserve">parent </w:t>
      </w:r>
      <w:r w:rsidR="000A5C0F">
        <w:t xml:space="preserve">(BH) </w:t>
      </w:r>
      <w:r w:rsidR="00237803">
        <w:t xml:space="preserve">link while </w:t>
      </w:r>
      <w:r>
        <w:t>transmit</w:t>
      </w:r>
      <w:r w:rsidR="000A5C0F">
        <w:t>ting</w:t>
      </w:r>
      <w:r>
        <w:t xml:space="preserve"> to </w:t>
      </w:r>
      <w:r w:rsidR="000A5C0F">
        <w:t xml:space="preserve">access </w:t>
      </w:r>
      <w:r>
        <w:t>UEs or child-node</w:t>
      </w:r>
      <w:r w:rsidR="000A5C0F">
        <w:t>(</w:t>
      </w:r>
      <w:r>
        <w:t>s</w:t>
      </w:r>
      <w:r w:rsidR="000A5C0F">
        <w:t>)</w:t>
      </w:r>
      <w:r>
        <w:t xml:space="preserve">. During UL </w:t>
      </w:r>
      <w:r w:rsidR="009B7379">
        <w:t xml:space="preserve">resources </w:t>
      </w:r>
      <w:r w:rsidR="000A5C0F">
        <w:t xml:space="preserve">of the child link(s) </w:t>
      </w:r>
      <w:r>
        <w:t>IAB-node is receiving transmissions from UEs</w:t>
      </w:r>
      <w:r w:rsidR="000A5C0F">
        <w:t xml:space="preserve"> and/or from the next hop IAB-node(s)</w:t>
      </w:r>
      <w:r>
        <w:t xml:space="preserve">. </w:t>
      </w:r>
    </w:p>
    <w:p w14:paraId="16F79E4D" w14:textId="703E728A" w:rsidR="0060382B" w:rsidRDefault="003D3111" w:rsidP="0060382B">
      <w:pPr>
        <w:jc w:val="both"/>
      </w:pPr>
      <w:r>
        <w:t>Based on RAN1 agreements, MT cannot transmit UL Parent BH link when resource is configured as DL</w:t>
      </w:r>
      <w:r w:rsidR="007C0429">
        <w:t xml:space="preserve"> [3]</w:t>
      </w:r>
      <w:r>
        <w:t xml:space="preserve">. </w:t>
      </w:r>
      <w:r w:rsidR="0060382B">
        <w:t xml:space="preserve">To facilitate efficient resource usage, IAB-Node to parent node transmissions indeed should take place during UL </w:t>
      </w:r>
      <w:r>
        <w:t>resources</w:t>
      </w:r>
      <w:r w:rsidR="0060382B">
        <w:t>. If this would not be the case and IAB-MT would use DL timeslots</w:t>
      </w:r>
      <w:r w:rsidR="003D5813">
        <w:t xml:space="preserve"> for TX</w:t>
      </w:r>
      <w:r w:rsidR="0060382B">
        <w:t xml:space="preserve">, the </w:t>
      </w:r>
      <w:r w:rsidR="003D5813">
        <w:t xml:space="preserve">radio resources of the </w:t>
      </w:r>
      <w:r w:rsidR="0060382B">
        <w:t>parent</w:t>
      </w:r>
      <w:r w:rsidR="003D5813">
        <w:t xml:space="preserve"> link should be split between the two directions. This </w:t>
      </w:r>
      <w:r w:rsidR="0060382B">
        <w:t xml:space="preserve">would </w:t>
      </w:r>
      <w:r w:rsidR="003D5813">
        <w:t xml:space="preserve">result in inefficient use of radio resources and would </w:t>
      </w:r>
      <w:r w:rsidR="0060382B">
        <w:t xml:space="preserve">cause </w:t>
      </w:r>
      <w:r w:rsidR="003D5813">
        <w:t xml:space="preserve">additional </w:t>
      </w:r>
      <w:r w:rsidR="0060382B">
        <w:t xml:space="preserve">latency </w:t>
      </w:r>
      <w:r w:rsidR="003D5813">
        <w:t xml:space="preserve">on </w:t>
      </w:r>
      <w:r w:rsidR="0060382B">
        <w:t xml:space="preserve">the </w:t>
      </w:r>
      <w:r w:rsidR="003D5813">
        <w:t xml:space="preserve">BH </w:t>
      </w:r>
      <w:r w:rsidR="0060382B">
        <w:t xml:space="preserve">link. As the </w:t>
      </w:r>
      <w:r w:rsidR="003D5813">
        <w:t xml:space="preserve">BH </w:t>
      </w:r>
      <w:r w:rsidR="0060382B">
        <w:t>link carries aggregated traffic of multiple UEs it is important not to limit the time-availability</w:t>
      </w:r>
      <w:r w:rsidR="003D5813">
        <w:t>.</w:t>
      </w:r>
    </w:p>
    <w:p w14:paraId="622F527C" w14:textId="1BFAD15F" w:rsidR="00A97C2D" w:rsidRDefault="00A97C2D" w:rsidP="0060382B">
      <w:pPr>
        <w:jc w:val="both"/>
        <w:rPr>
          <w:b/>
        </w:rPr>
      </w:pPr>
      <w:r>
        <w:rPr>
          <w:b/>
        </w:rPr>
        <w:t xml:space="preserve">Observation 4: </w:t>
      </w:r>
      <w:r w:rsidR="009B7379">
        <w:rPr>
          <w:b/>
        </w:rPr>
        <w:t xml:space="preserve">DL </w:t>
      </w:r>
      <w:r w:rsidR="00663E30">
        <w:rPr>
          <w:b/>
        </w:rPr>
        <w:t>Parent/Child BH</w:t>
      </w:r>
      <w:r>
        <w:rPr>
          <w:b/>
        </w:rPr>
        <w:t xml:space="preserve"> transmissions take place during DL-timeslots</w:t>
      </w:r>
    </w:p>
    <w:p w14:paraId="3480AC97" w14:textId="003EF14C" w:rsidR="0060382B" w:rsidRDefault="0060382B" w:rsidP="0060382B">
      <w:pPr>
        <w:jc w:val="both"/>
        <w:rPr>
          <w:b/>
        </w:rPr>
      </w:pPr>
      <w:r>
        <w:rPr>
          <w:b/>
        </w:rPr>
        <w:t xml:space="preserve">Observation </w:t>
      </w:r>
      <w:r w:rsidR="00A97C2D">
        <w:rPr>
          <w:b/>
        </w:rPr>
        <w:t>5</w:t>
      </w:r>
      <w:r>
        <w:rPr>
          <w:b/>
        </w:rPr>
        <w:t xml:space="preserve">: From resource usage perspective, </w:t>
      </w:r>
      <w:r w:rsidR="003D3111">
        <w:rPr>
          <w:b/>
        </w:rPr>
        <w:t>UL parent BH</w:t>
      </w:r>
      <w:r>
        <w:rPr>
          <w:b/>
        </w:rPr>
        <w:t xml:space="preserve"> should take place during UL-timeslots</w:t>
      </w:r>
    </w:p>
    <w:p w14:paraId="06C04AF9" w14:textId="3AFE6B8A" w:rsidR="00DD43B9" w:rsidRDefault="00DD43B9" w:rsidP="0089736D">
      <w:pPr>
        <w:jc w:val="both"/>
      </w:pPr>
      <w:r>
        <w:t>It should be noted that not all deployment scenarios are automatically guaranteed to work. Currently RF requirements for FR2 do not consider co-location of base stations. Therefore, it is not guaranteed that IAB-node can be co-located with another base station. Otherwise, we already have high power transmission during UL-timeslots, as fixed wireless access UEs are specified up to maximum EIRP of 55 dBm.</w:t>
      </w:r>
    </w:p>
    <w:p w14:paraId="4D7051FE" w14:textId="2C8E3B0C" w:rsidR="00DD43B9" w:rsidRPr="00DD43B9" w:rsidRDefault="00DD43B9" w:rsidP="0089736D">
      <w:pPr>
        <w:jc w:val="both"/>
        <w:rPr>
          <w:b/>
        </w:rPr>
      </w:pPr>
      <w:r w:rsidRPr="00DD43B9">
        <w:rPr>
          <w:b/>
        </w:rPr>
        <w:t>Observation 6:</w:t>
      </w:r>
      <w:r>
        <w:rPr>
          <w:b/>
        </w:rPr>
        <w:t xml:space="preserve"> High-power transmission during UL-timeslots are already specified for FR2.</w:t>
      </w:r>
    </w:p>
    <w:p w14:paraId="4984F2D9" w14:textId="09BBA48A" w:rsidR="0060382B" w:rsidRPr="00A97C2D" w:rsidRDefault="00A97C2D" w:rsidP="0089736D">
      <w:pPr>
        <w:jc w:val="both"/>
      </w:pPr>
      <w:r>
        <w:t>Based on this we propose to base RAN4 requirements</w:t>
      </w:r>
      <w:r w:rsidR="00DD43B9">
        <w:t xml:space="preserve"> for IAB-MT</w:t>
      </w:r>
      <w:r>
        <w:t xml:space="preserve"> on the assumption of synchronous network using UL timeslots for </w:t>
      </w:r>
      <w:r w:rsidR="003D5813">
        <w:t xml:space="preserve">the transmissions in the direction of </w:t>
      </w:r>
      <w:r>
        <w:t xml:space="preserve">IAB-node to parent </w:t>
      </w:r>
      <w:r w:rsidR="003D5813">
        <w:t>node</w:t>
      </w:r>
      <w:r>
        <w:t>.</w:t>
      </w:r>
    </w:p>
    <w:p w14:paraId="4E2F5423" w14:textId="05DAF6E2" w:rsidR="00113312" w:rsidRPr="00113312" w:rsidRDefault="00113312" w:rsidP="0089736D">
      <w:pPr>
        <w:jc w:val="both"/>
        <w:rPr>
          <w:b/>
        </w:rPr>
      </w:pPr>
      <w:r w:rsidRPr="00113312">
        <w:rPr>
          <w:b/>
        </w:rPr>
        <w:t xml:space="preserve">Proposal </w:t>
      </w:r>
      <w:r w:rsidR="00A97C2D">
        <w:rPr>
          <w:b/>
        </w:rPr>
        <w:t>3</w:t>
      </w:r>
      <w:r w:rsidRPr="00113312">
        <w:rPr>
          <w:b/>
        </w:rPr>
        <w:t>:</w:t>
      </w:r>
      <w:r>
        <w:rPr>
          <w:b/>
        </w:rPr>
        <w:t xml:space="preserve"> Derive the RAN4 RF performance requirements for IAB-nodes assuming synchronized TDD operation where IAB-</w:t>
      </w:r>
      <w:r w:rsidR="00DD43B9">
        <w:rPr>
          <w:b/>
        </w:rPr>
        <w:t>MT</w:t>
      </w:r>
      <w:r>
        <w:rPr>
          <w:b/>
        </w:rPr>
        <w:t xml:space="preserve"> transmissions take place during UL</w:t>
      </w:r>
      <w:r w:rsidR="00A97C2D">
        <w:rPr>
          <w:b/>
        </w:rPr>
        <w:t>-</w:t>
      </w:r>
      <w:r>
        <w:rPr>
          <w:b/>
        </w:rPr>
        <w:t>timeslots.</w:t>
      </w:r>
    </w:p>
    <w:p w14:paraId="52782008" w14:textId="77777777" w:rsidR="00F32200" w:rsidRDefault="00F32200" w:rsidP="00F32200">
      <w:pPr>
        <w:pStyle w:val="Heading1"/>
      </w:pPr>
      <w:r>
        <w:t>3</w:t>
      </w:r>
      <w:r>
        <w:tab/>
        <w:t>Conclusion</w:t>
      </w:r>
    </w:p>
    <w:p w14:paraId="5D96FB4B" w14:textId="10ABC2C5" w:rsidR="00845E2E" w:rsidRDefault="00E46CA7" w:rsidP="004D4354">
      <w:r>
        <w:t xml:space="preserve">In this </w:t>
      </w:r>
      <w:r w:rsidR="00870635">
        <w:t>contribution</w:t>
      </w:r>
      <w:r w:rsidR="00845E2E">
        <w:t xml:space="preserve"> basis for deriving </w:t>
      </w:r>
      <w:r w:rsidR="003A1BF2">
        <w:t>IAB-node performance requirem</w:t>
      </w:r>
      <w:r w:rsidR="003A1BF2" w:rsidRPr="00FB7D23">
        <w:t>ent</w:t>
      </w:r>
      <w:r w:rsidR="00845E2E" w:rsidRPr="00FB7D23">
        <w:t>s</w:t>
      </w:r>
      <w:r w:rsidR="003A1BF2" w:rsidRPr="00FB7D23">
        <w:t xml:space="preserve"> was discussed and </w:t>
      </w:r>
      <w:r w:rsidR="00482BAF" w:rsidRPr="00FB7D23">
        <w:t>the following</w:t>
      </w:r>
      <w:r w:rsidR="003613B8">
        <w:t xml:space="preserve"> observations and</w:t>
      </w:r>
      <w:r w:rsidR="00482BAF" w:rsidRPr="00FB7D23">
        <w:t xml:space="preserve"> proposal</w:t>
      </w:r>
      <w:r w:rsidR="003613B8">
        <w:t>s</w:t>
      </w:r>
      <w:r w:rsidR="00482BAF" w:rsidRPr="00FB7D23">
        <w:t xml:space="preserve"> w</w:t>
      </w:r>
      <w:r w:rsidR="003613B8">
        <w:t>ere</w:t>
      </w:r>
      <w:r w:rsidR="00482BAF" w:rsidRPr="00FB7D23">
        <w:t xml:space="preserve"> made.</w:t>
      </w:r>
    </w:p>
    <w:p w14:paraId="775A98CF" w14:textId="77777777" w:rsidR="00DD43B9" w:rsidRPr="008D6E47" w:rsidRDefault="00DD43B9" w:rsidP="00DD43B9">
      <w:pPr>
        <w:jc w:val="both"/>
        <w:rPr>
          <w:b/>
        </w:rPr>
      </w:pPr>
      <w:r w:rsidRPr="00937974">
        <w:rPr>
          <w:b/>
        </w:rPr>
        <w:lastRenderedPageBreak/>
        <w:t xml:space="preserve">Observation </w:t>
      </w:r>
      <w:r>
        <w:rPr>
          <w:b/>
        </w:rPr>
        <w:t>1</w:t>
      </w:r>
      <w:r w:rsidRPr="00937974">
        <w:rPr>
          <w:b/>
        </w:rPr>
        <w:t>:</w:t>
      </w:r>
      <w:r>
        <w:rPr>
          <w:b/>
        </w:rPr>
        <w:t xml:space="preserve"> From RF-perspective, IAB-access does not differ from already specified BS RF.</w:t>
      </w:r>
    </w:p>
    <w:p w14:paraId="41790CBF" w14:textId="77777777" w:rsidR="00DD43B9" w:rsidRDefault="00DD43B9" w:rsidP="00DD43B9">
      <w:pPr>
        <w:jc w:val="both"/>
        <w:rPr>
          <w:b/>
        </w:rPr>
      </w:pPr>
      <w:r w:rsidRPr="00A10A2C">
        <w:rPr>
          <w:b/>
        </w:rPr>
        <w:t xml:space="preserve">Observation </w:t>
      </w:r>
      <w:r>
        <w:rPr>
          <w:b/>
        </w:rPr>
        <w:t>2</w:t>
      </w:r>
      <w:r w:rsidRPr="00A10A2C">
        <w:rPr>
          <w:b/>
        </w:rPr>
        <w:t>:</w:t>
      </w:r>
      <w:r>
        <w:rPr>
          <w:b/>
        </w:rPr>
        <w:t xml:space="preserve"> BS RF requirements can be re-used for IAB-MT, but RAN4 still needs to consider whether amendments such as power control are needed.</w:t>
      </w:r>
    </w:p>
    <w:p w14:paraId="03BDC280" w14:textId="179F9072" w:rsidR="00DD43B9" w:rsidRDefault="00DD43B9" w:rsidP="00DD43B9">
      <w:pPr>
        <w:jc w:val="both"/>
        <w:rPr>
          <w:b/>
        </w:rPr>
      </w:pPr>
      <w:r w:rsidRPr="00BE5FB6">
        <w:rPr>
          <w:b/>
        </w:rPr>
        <w:t xml:space="preserve">Observation </w:t>
      </w:r>
      <w:r>
        <w:rPr>
          <w:b/>
        </w:rPr>
        <w:t>3</w:t>
      </w:r>
      <w:r w:rsidRPr="00BE5FB6">
        <w:rPr>
          <w:b/>
        </w:rPr>
        <w:t>:</w:t>
      </w:r>
      <w:r>
        <w:t xml:space="preserve"> </w:t>
      </w:r>
      <w:r>
        <w:rPr>
          <w:b/>
        </w:rPr>
        <w:t xml:space="preserve">It may be beneficial to consider a second IAB-class, where IAB-MT RF </w:t>
      </w:r>
      <w:r w:rsidR="00F65437">
        <w:rPr>
          <w:b/>
        </w:rPr>
        <w:t xml:space="preserve">has </w:t>
      </w:r>
      <w:r w:rsidR="005C3C47">
        <w:rPr>
          <w:b/>
        </w:rPr>
        <w:t>different</w:t>
      </w:r>
      <w:r>
        <w:rPr>
          <w:b/>
        </w:rPr>
        <w:t xml:space="preserve"> </w:t>
      </w:r>
      <w:r w:rsidR="00F65437">
        <w:rPr>
          <w:b/>
        </w:rPr>
        <w:t xml:space="preserve">requirements </w:t>
      </w:r>
      <w:r>
        <w:rPr>
          <w:b/>
        </w:rPr>
        <w:t>compared to BS RF requirements.</w:t>
      </w:r>
    </w:p>
    <w:p w14:paraId="44B6E39E" w14:textId="77777777" w:rsidR="00DD43B9" w:rsidRDefault="00DD43B9" w:rsidP="00DD43B9">
      <w:pPr>
        <w:jc w:val="both"/>
        <w:rPr>
          <w:b/>
        </w:rPr>
      </w:pPr>
      <w:r>
        <w:rPr>
          <w:b/>
        </w:rPr>
        <w:t>Observation 4: Parent-to-child transmissions take place during DL-timeslots</w:t>
      </w:r>
    </w:p>
    <w:p w14:paraId="374707AE" w14:textId="1EC77162" w:rsidR="00DD43B9" w:rsidRDefault="00DD43B9" w:rsidP="00DD43B9">
      <w:pPr>
        <w:jc w:val="both"/>
        <w:rPr>
          <w:b/>
        </w:rPr>
      </w:pPr>
      <w:r>
        <w:rPr>
          <w:b/>
        </w:rPr>
        <w:t>Observation 5: From resource usage perspective, IAB-MT transmissions should take place during UL-timeslots</w:t>
      </w:r>
    </w:p>
    <w:p w14:paraId="3D9C96B9" w14:textId="77777777" w:rsidR="00DD43B9" w:rsidRPr="00DD43B9" w:rsidRDefault="00DD43B9" w:rsidP="00DD43B9">
      <w:pPr>
        <w:jc w:val="both"/>
        <w:rPr>
          <w:b/>
        </w:rPr>
      </w:pPr>
      <w:r w:rsidRPr="00DD43B9">
        <w:rPr>
          <w:b/>
        </w:rPr>
        <w:t>Observation 6:</w:t>
      </w:r>
      <w:r>
        <w:rPr>
          <w:b/>
        </w:rPr>
        <w:t xml:space="preserve"> High-power transmission during UL-timeslots are already specified for FR2.</w:t>
      </w:r>
    </w:p>
    <w:p w14:paraId="0C9AEFF0" w14:textId="77777777" w:rsidR="00DD43B9" w:rsidRDefault="00DD43B9" w:rsidP="00DD43B9">
      <w:pPr>
        <w:jc w:val="both"/>
        <w:rPr>
          <w:b/>
        </w:rPr>
      </w:pPr>
      <w:r>
        <w:rPr>
          <w:b/>
        </w:rPr>
        <w:t>Proposal 1: Re-use BS RF requirements for IAB-access part.</w:t>
      </w:r>
    </w:p>
    <w:p w14:paraId="618D8101" w14:textId="5910B502" w:rsidR="00DD43B9" w:rsidRDefault="00DD43B9" w:rsidP="00DD43B9">
      <w:pPr>
        <w:jc w:val="both"/>
        <w:rPr>
          <w:b/>
        </w:rPr>
      </w:pPr>
      <w:r w:rsidRPr="00BE5FB6">
        <w:rPr>
          <w:b/>
        </w:rPr>
        <w:t xml:space="preserve">Proposal 2: RAN4 to consider creating two IAB-classes, one re-using BS RF requirements for IAB-MT and another one with </w:t>
      </w:r>
      <w:r w:rsidR="005C3C47">
        <w:rPr>
          <w:b/>
        </w:rPr>
        <w:t>different</w:t>
      </w:r>
      <w:r w:rsidRPr="00BE5FB6">
        <w:rPr>
          <w:b/>
        </w:rPr>
        <w:t xml:space="preserve"> RF requirements</w:t>
      </w:r>
    </w:p>
    <w:p w14:paraId="12AE3D79" w14:textId="632A1C53" w:rsidR="00DD43B9" w:rsidRPr="008D6E47" w:rsidRDefault="00DD43B9" w:rsidP="00DD43B9">
      <w:pPr>
        <w:jc w:val="both"/>
        <w:rPr>
          <w:b/>
        </w:rPr>
      </w:pPr>
      <w:r w:rsidRPr="00113312">
        <w:rPr>
          <w:b/>
        </w:rPr>
        <w:t xml:space="preserve">Proposal </w:t>
      </w:r>
      <w:r>
        <w:rPr>
          <w:b/>
        </w:rPr>
        <w:t>3</w:t>
      </w:r>
      <w:r w:rsidRPr="00113312">
        <w:rPr>
          <w:b/>
        </w:rPr>
        <w:t>:</w:t>
      </w:r>
      <w:r>
        <w:rPr>
          <w:b/>
        </w:rPr>
        <w:t xml:space="preserve"> Derive the RAN4 RF performance requirements for IAB-nodes assuming synchronized TDD operation where IAB-MT transmissions take place during UL-timeslots.</w:t>
      </w:r>
    </w:p>
    <w:p w14:paraId="55B204E9" w14:textId="77777777" w:rsidR="0057669F" w:rsidRDefault="0057669F" w:rsidP="0057669F">
      <w:pPr>
        <w:pStyle w:val="Heading1"/>
      </w:pPr>
      <w:r>
        <w:t>4</w:t>
      </w:r>
      <w:r>
        <w:tab/>
        <w:t>Reference</w:t>
      </w:r>
      <w:r w:rsidR="0035582C">
        <w:t>s</w:t>
      </w:r>
    </w:p>
    <w:p w14:paraId="43EA2530" w14:textId="49CAD203" w:rsidR="0089736D" w:rsidRDefault="0035582C" w:rsidP="000D5C67">
      <w:pPr>
        <w:ind w:left="567" w:hanging="567"/>
        <w:rPr>
          <w:lang w:val="en-US"/>
        </w:rPr>
      </w:pPr>
      <w:r>
        <w:rPr>
          <w:lang w:val="en-US" w:eastAsia="ja-JP"/>
        </w:rPr>
        <w:t>[1]</w:t>
      </w:r>
      <w:r>
        <w:rPr>
          <w:lang w:val="en-US" w:eastAsia="ja-JP"/>
        </w:rPr>
        <w:tab/>
      </w:r>
      <w:r w:rsidR="000D5C67">
        <w:rPr>
          <w:lang w:val="en-US" w:eastAsia="ja-JP"/>
        </w:rPr>
        <w:t xml:space="preserve">RP-192882 </w:t>
      </w:r>
      <w:r w:rsidR="000D5C67" w:rsidRPr="000D5C67">
        <w:rPr>
          <w:lang w:val="en-US" w:eastAsia="ja-JP"/>
        </w:rPr>
        <w:t>New WID: Integrated Access and Backhaul for NR, Qualcomm</w:t>
      </w:r>
    </w:p>
    <w:p w14:paraId="3AAE88AA" w14:textId="77777777" w:rsidR="00DD43B9" w:rsidRPr="004A66AA" w:rsidRDefault="00DD43B9" w:rsidP="00DD43B9">
      <w:pPr>
        <w:ind w:left="567" w:hanging="567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RP-190712 </w:t>
      </w:r>
      <w:r w:rsidRPr="004A66AA">
        <w:rPr>
          <w:lang w:val="en-US"/>
        </w:rPr>
        <w:t>Revised WID: Integrated Access and Backhaul for NR</w:t>
      </w:r>
      <w:r>
        <w:rPr>
          <w:lang w:val="en-US"/>
        </w:rPr>
        <w:t>, Qualcomm</w:t>
      </w:r>
    </w:p>
    <w:p w14:paraId="1C48C625" w14:textId="57739045" w:rsidR="0089736D" w:rsidRPr="00870635" w:rsidRDefault="007C0429" w:rsidP="000450CB">
      <w:pPr>
        <w:ind w:left="567" w:hanging="567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="000450CB">
        <w:rPr>
          <w:lang w:val="en-US"/>
        </w:rPr>
        <w:t>TR 38.874, Study on Integrated Access and Backhaul</w:t>
      </w:r>
      <w:r w:rsidR="00D5669A">
        <w:rPr>
          <w:lang w:val="en-US"/>
        </w:rPr>
        <w:t>, Rel-16</w:t>
      </w:r>
      <w:r w:rsidR="000450CB">
        <w:rPr>
          <w:lang w:val="en-US"/>
        </w:rPr>
        <w:t xml:space="preserve"> </w:t>
      </w:r>
    </w:p>
    <w:sectPr w:rsidR="0089736D" w:rsidRPr="00870635" w:rsidSect="00F322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E53BD" w14:textId="77777777" w:rsidR="004035FC" w:rsidRDefault="004035FC" w:rsidP="002B3503">
      <w:pPr>
        <w:spacing w:after="0"/>
      </w:pPr>
      <w:r>
        <w:separator/>
      </w:r>
    </w:p>
  </w:endnote>
  <w:endnote w:type="continuationSeparator" w:id="0">
    <w:p w14:paraId="02C16752" w14:textId="77777777" w:rsidR="004035FC" w:rsidRDefault="004035F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1A9F" w14:textId="77777777" w:rsidR="006A21E1" w:rsidRDefault="006A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594D" w14:textId="77777777" w:rsidR="006A21E1" w:rsidRDefault="006A2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897A5" w14:textId="77777777" w:rsidR="006A21E1" w:rsidRDefault="006A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39D19" w14:textId="77777777" w:rsidR="004035FC" w:rsidRDefault="004035FC" w:rsidP="002B3503">
      <w:pPr>
        <w:spacing w:after="0"/>
      </w:pPr>
      <w:r>
        <w:separator/>
      </w:r>
    </w:p>
  </w:footnote>
  <w:footnote w:type="continuationSeparator" w:id="0">
    <w:p w14:paraId="29A94BF7" w14:textId="77777777" w:rsidR="004035FC" w:rsidRDefault="004035F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87148" w14:textId="77777777" w:rsidR="006A21E1" w:rsidRDefault="006A2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BF74" w14:textId="77777777" w:rsidR="006A21E1" w:rsidRDefault="006A2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24C72"/>
    <w:multiLevelType w:val="hybridMultilevel"/>
    <w:tmpl w:val="C68C93FC"/>
    <w:lvl w:ilvl="0" w:tplc="7C22815A">
      <w:start w:val="3"/>
      <w:numFmt w:val="bullet"/>
      <w:lvlText w:val=""/>
      <w:lvlJc w:val="left"/>
      <w:pPr>
        <w:ind w:left="172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050B6"/>
    <w:multiLevelType w:val="hybridMultilevel"/>
    <w:tmpl w:val="25C2F51E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2"/>
  </w:num>
  <w:num w:numId="9">
    <w:abstractNumId w:val="0"/>
  </w:num>
  <w:num w:numId="10">
    <w:abstractNumId w:val="6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C2D"/>
    <w:rsid w:val="00013683"/>
    <w:rsid w:val="000138E1"/>
    <w:rsid w:val="000146D1"/>
    <w:rsid w:val="00017F18"/>
    <w:rsid w:val="000450CB"/>
    <w:rsid w:val="00046F81"/>
    <w:rsid w:val="000832DA"/>
    <w:rsid w:val="00091F0B"/>
    <w:rsid w:val="000943A9"/>
    <w:rsid w:val="000A4A61"/>
    <w:rsid w:val="000A5C0F"/>
    <w:rsid w:val="000A6473"/>
    <w:rsid w:val="000A7F46"/>
    <w:rsid w:val="000B4E56"/>
    <w:rsid w:val="000B5E8E"/>
    <w:rsid w:val="000C07E1"/>
    <w:rsid w:val="000D0627"/>
    <w:rsid w:val="000D5C67"/>
    <w:rsid w:val="000D6C3A"/>
    <w:rsid w:val="000E41E5"/>
    <w:rsid w:val="000F2546"/>
    <w:rsid w:val="00101626"/>
    <w:rsid w:val="00101848"/>
    <w:rsid w:val="00113312"/>
    <w:rsid w:val="001364A1"/>
    <w:rsid w:val="0015000E"/>
    <w:rsid w:val="0016131F"/>
    <w:rsid w:val="00164A53"/>
    <w:rsid w:val="001B180D"/>
    <w:rsid w:val="001B494A"/>
    <w:rsid w:val="001C3296"/>
    <w:rsid w:val="001D4627"/>
    <w:rsid w:val="00210C9E"/>
    <w:rsid w:val="002127E2"/>
    <w:rsid w:val="00214C87"/>
    <w:rsid w:val="00215035"/>
    <w:rsid w:val="00237779"/>
    <w:rsid w:val="00237803"/>
    <w:rsid w:val="002640C9"/>
    <w:rsid w:val="00277EE7"/>
    <w:rsid w:val="00285189"/>
    <w:rsid w:val="00285EBA"/>
    <w:rsid w:val="00291DDD"/>
    <w:rsid w:val="002A7181"/>
    <w:rsid w:val="002B3503"/>
    <w:rsid w:val="002B3F6F"/>
    <w:rsid w:val="002C1641"/>
    <w:rsid w:val="002C1C70"/>
    <w:rsid w:val="002F0018"/>
    <w:rsid w:val="002F139F"/>
    <w:rsid w:val="002F6A38"/>
    <w:rsid w:val="00347DEA"/>
    <w:rsid w:val="0035582C"/>
    <w:rsid w:val="003613B8"/>
    <w:rsid w:val="00363074"/>
    <w:rsid w:val="003777FE"/>
    <w:rsid w:val="003A1BF2"/>
    <w:rsid w:val="003C3016"/>
    <w:rsid w:val="003D3111"/>
    <w:rsid w:val="003D5813"/>
    <w:rsid w:val="003F0CBC"/>
    <w:rsid w:val="003F1982"/>
    <w:rsid w:val="004035FC"/>
    <w:rsid w:val="00404C40"/>
    <w:rsid w:val="0042109F"/>
    <w:rsid w:val="0043450E"/>
    <w:rsid w:val="00453BA5"/>
    <w:rsid w:val="00454E53"/>
    <w:rsid w:val="004754A1"/>
    <w:rsid w:val="00482477"/>
    <w:rsid w:val="00482BAF"/>
    <w:rsid w:val="00484762"/>
    <w:rsid w:val="00491386"/>
    <w:rsid w:val="00494F18"/>
    <w:rsid w:val="004A41DA"/>
    <w:rsid w:val="004A47DD"/>
    <w:rsid w:val="004C0103"/>
    <w:rsid w:val="004C4473"/>
    <w:rsid w:val="004C58F9"/>
    <w:rsid w:val="004D0C67"/>
    <w:rsid w:val="004D3D81"/>
    <w:rsid w:val="004D4354"/>
    <w:rsid w:val="00507108"/>
    <w:rsid w:val="00512C65"/>
    <w:rsid w:val="005304C6"/>
    <w:rsid w:val="00542EA4"/>
    <w:rsid w:val="00544A0E"/>
    <w:rsid w:val="005472C5"/>
    <w:rsid w:val="00551BD8"/>
    <w:rsid w:val="00560A63"/>
    <w:rsid w:val="00564B2E"/>
    <w:rsid w:val="00570B14"/>
    <w:rsid w:val="0057669F"/>
    <w:rsid w:val="005A3D67"/>
    <w:rsid w:val="005B2640"/>
    <w:rsid w:val="005C3C47"/>
    <w:rsid w:val="005D7B06"/>
    <w:rsid w:val="005E49A2"/>
    <w:rsid w:val="005F6CE3"/>
    <w:rsid w:val="00602EB6"/>
    <w:rsid w:val="0060382B"/>
    <w:rsid w:val="006168C2"/>
    <w:rsid w:val="00641C2E"/>
    <w:rsid w:val="00654B03"/>
    <w:rsid w:val="00663E30"/>
    <w:rsid w:val="00666120"/>
    <w:rsid w:val="00673969"/>
    <w:rsid w:val="00692D32"/>
    <w:rsid w:val="006A21E1"/>
    <w:rsid w:val="006A6876"/>
    <w:rsid w:val="006B720B"/>
    <w:rsid w:val="006C6840"/>
    <w:rsid w:val="006C7482"/>
    <w:rsid w:val="006E3462"/>
    <w:rsid w:val="006F1B82"/>
    <w:rsid w:val="006F651D"/>
    <w:rsid w:val="00701131"/>
    <w:rsid w:val="00710301"/>
    <w:rsid w:val="007120DD"/>
    <w:rsid w:val="00721417"/>
    <w:rsid w:val="00726265"/>
    <w:rsid w:val="00734EBD"/>
    <w:rsid w:val="00753982"/>
    <w:rsid w:val="00763E62"/>
    <w:rsid w:val="00782875"/>
    <w:rsid w:val="007A12F4"/>
    <w:rsid w:val="007A23DA"/>
    <w:rsid w:val="007C0429"/>
    <w:rsid w:val="007D20DF"/>
    <w:rsid w:val="007E79BE"/>
    <w:rsid w:val="008236E4"/>
    <w:rsid w:val="0084176E"/>
    <w:rsid w:val="00845E2E"/>
    <w:rsid w:val="00850296"/>
    <w:rsid w:val="00853EC3"/>
    <w:rsid w:val="00870635"/>
    <w:rsid w:val="00874DB0"/>
    <w:rsid w:val="008771F4"/>
    <w:rsid w:val="008922F9"/>
    <w:rsid w:val="0089736D"/>
    <w:rsid w:val="008A4493"/>
    <w:rsid w:val="008B5F74"/>
    <w:rsid w:val="008D39F0"/>
    <w:rsid w:val="008D6E47"/>
    <w:rsid w:val="008F311C"/>
    <w:rsid w:val="008F463D"/>
    <w:rsid w:val="009050E8"/>
    <w:rsid w:val="00906259"/>
    <w:rsid w:val="0091383D"/>
    <w:rsid w:val="00932D74"/>
    <w:rsid w:val="009351C4"/>
    <w:rsid w:val="00937974"/>
    <w:rsid w:val="00940559"/>
    <w:rsid w:val="00943634"/>
    <w:rsid w:val="0096038C"/>
    <w:rsid w:val="009674D4"/>
    <w:rsid w:val="00982464"/>
    <w:rsid w:val="00996062"/>
    <w:rsid w:val="009A6A8B"/>
    <w:rsid w:val="009A70AA"/>
    <w:rsid w:val="009B1E68"/>
    <w:rsid w:val="009B7379"/>
    <w:rsid w:val="00A067D5"/>
    <w:rsid w:val="00A10A2C"/>
    <w:rsid w:val="00A15FBF"/>
    <w:rsid w:val="00A451E8"/>
    <w:rsid w:val="00A466BF"/>
    <w:rsid w:val="00A6018C"/>
    <w:rsid w:val="00A64564"/>
    <w:rsid w:val="00A708BD"/>
    <w:rsid w:val="00A8390A"/>
    <w:rsid w:val="00A97C2D"/>
    <w:rsid w:val="00AB5402"/>
    <w:rsid w:val="00AD71AD"/>
    <w:rsid w:val="00AE6327"/>
    <w:rsid w:val="00AF14A0"/>
    <w:rsid w:val="00B1541B"/>
    <w:rsid w:val="00B4385F"/>
    <w:rsid w:val="00B6504C"/>
    <w:rsid w:val="00B65B59"/>
    <w:rsid w:val="00BC764C"/>
    <w:rsid w:val="00BD0FF7"/>
    <w:rsid w:val="00BE140C"/>
    <w:rsid w:val="00BE5FB6"/>
    <w:rsid w:val="00BF4B17"/>
    <w:rsid w:val="00C21554"/>
    <w:rsid w:val="00C24C90"/>
    <w:rsid w:val="00C24D31"/>
    <w:rsid w:val="00C33434"/>
    <w:rsid w:val="00C944DE"/>
    <w:rsid w:val="00CA5455"/>
    <w:rsid w:val="00CF249F"/>
    <w:rsid w:val="00D26459"/>
    <w:rsid w:val="00D275CC"/>
    <w:rsid w:val="00D355D3"/>
    <w:rsid w:val="00D54EAA"/>
    <w:rsid w:val="00D5669A"/>
    <w:rsid w:val="00D767C4"/>
    <w:rsid w:val="00D77CF5"/>
    <w:rsid w:val="00D848CC"/>
    <w:rsid w:val="00D86BF8"/>
    <w:rsid w:val="00D944B1"/>
    <w:rsid w:val="00D95179"/>
    <w:rsid w:val="00DB3EC2"/>
    <w:rsid w:val="00DB5AD3"/>
    <w:rsid w:val="00DB78B8"/>
    <w:rsid w:val="00DC7584"/>
    <w:rsid w:val="00DD43B9"/>
    <w:rsid w:val="00DF018A"/>
    <w:rsid w:val="00DF0C0A"/>
    <w:rsid w:val="00E00F64"/>
    <w:rsid w:val="00E13DFA"/>
    <w:rsid w:val="00E3148E"/>
    <w:rsid w:val="00E33B68"/>
    <w:rsid w:val="00E46CA7"/>
    <w:rsid w:val="00E90BCB"/>
    <w:rsid w:val="00E962C5"/>
    <w:rsid w:val="00EA3488"/>
    <w:rsid w:val="00EB5F7D"/>
    <w:rsid w:val="00EC589F"/>
    <w:rsid w:val="00EF103D"/>
    <w:rsid w:val="00EF6304"/>
    <w:rsid w:val="00F03666"/>
    <w:rsid w:val="00F32200"/>
    <w:rsid w:val="00F40AF9"/>
    <w:rsid w:val="00F51367"/>
    <w:rsid w:val="00F65437"/>
    <w:rsid w:val="00F67501"/>
    <w:rsid w:val="00F832DE"/>
    <w:rsid w:val="00F95D75"/>
    <w:rsid w:val="00F96BF4"/>
    <w:rsid w:val="00F97D64"/>
    <w:rsid w:val="00FA111D"/>
    <w:rsid w:val="00FA2A7B"/>
    <w:rsid w:val="00FA66CB"/>
    <w:rsid w:val="00FB7D23"/>
    <w:rsid w:val="00FC75E4"/>
    <w:rsid w:val="00FC7CFA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18E340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01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F01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01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01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01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01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018A"/>
    <w:pPr>
      <w:outlineLvl w:val="5"/>
    </w:pPr>
  </w:style>
  <w:style w:type="paragraph" w:styleId="Heading7">
    <w:name w:val="heading 7"/>
    <w:basedOn w:val="H6"/>
    <w:next w:val="Normal"/>
    <w:qFormat/>
    <w:rsid w:val="00DF018A"/>
    <w:pPr>
      <w:outlineLvl w:val="6"/>
    </w:pPr>
  </w:style>
  <w:style w:type="paragraph" w:styleId="Heading8">
    <w:name w:val="heading 8"/>
    <w:basedOn w:val="Heading1"/>
    <w:next w:val="Normal"/>
    <w:qFormat/>
    <w:rsid w:val="00DF01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01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F018A"/>
    <w:pPr>
      <w:spacing w:before="180"/>
      <w:ind w:left="2693" w:hanging="2693"/>
    </w:pPr>
    <w:rPr>
      <w:b/>
    </w:rPr>
  </w:style>
  <w:style w:type="paragraph" w:styleId="TOC1">
    <w:name w:val="toc 1"/>
    <w:semiHidden/>
    <w:rsid w:val="00DF01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01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018A"/>
    <w:pPr>
      <w:ind w:left="1701" w:hanging="1701"/>
    </w:pPr>
  </w:style>
  <w:style w:type="paragraph" w:styleId="TOC4">
    <w:name w:val="toc 4"/>
    <w:basedOn w:val="TOC3"/>
    <w:semiHidden/>
    <w:rsid w:val="00DF018A"/>
    <w:pPr>
      <w:ind w:left="1418" w:hanging="1418"/>
    </w:pPr>
  </w:style>
  <w:style w:type="paragraph" w:styleId="TOC3">
    <w:name w:val="toc 3"/>
    <w:basedOn w:val="TOC2"/>
    <w:semiHidden/>
    <w:rsid w:val="00DF018A"/>
    <w:pPr>
      <w:ind w:left="1134" w:hanging="1134"/>
    </w:pPr>
  </w:style>
  <w:style w:type="paragraph" w:styleId="TOC2">
    <w:name w:val="toc 2"/>
    <w:basedOn w:val="TOC1"/>
    <w:semiHidden/>
    <w:rsid w:val="00DF01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018A"/>
    <w:pPr>
      <w:ind w:left="284"/>
    </w:pPr>
  </w:style>
  <w:style w:type="paragraph" w:styleId="Index1">
    <w:name w:val="index 1"/>
    <w:basedOn w:val="Normal"/>
    <w:semiHidden/>
    <w:rsid w:val="00DF018A"/>
    <w:pPr>
      <w:keepLines/>
      <w:spacing w:after="0"/>
    </w:pPr>
  </w:style>
  <w:style w:type="paragraph" w:customStyle="1" w:styleId="ZH">
    <w:name w:val="ZH"/>
    <w:rsid w:val="00DF01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018A"/>
    <w:pPr>
      <w:outlineLvl w:val="9"/>
    </w:pPr>
  </w:style>
  <w:style w:type="paragraph" w:styleId="ListNumber2">
    <w:name w:val="List Number 2"/>
    <w:basedOn w:val="ListNumber"/>
    <w:semiHidden/>
    <w:rsid w:val="00DF01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F01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018A"/>
    <w:rPr>
      <w:b/>
      <w:position w:val="6"/>
      <w:sz w:val="16"/>
    </w:rPr>
  </w:style>
  <w:style w:type="paragraph" w:styleId="FootnoteText">
    <w:name w:val="footnote text"/>
    <w:basedOn w:val="Normal"/>
    <w:semiHidden/>
    <w:rsid w:val="00DF01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F018A"/>
    <w:rPr>
      <w:b/>
    </w:rPr>
  </w:style>
  <w:style w:type="paragraph" w:customStyle="1" w:styleId="TAC">
    <w:name w:val="TAC"/>
    <w:basedOn w:val="TAL"/>
    <w:link w:val="TACChar"/>
    <w:qFormat/>
    <w:rsid w:val="00DF018A"/>
    <w:pPr>
      <w:jc w:val="center"/>
    </w:pPr>
  </w:style>
  <w:style w:type="paragraph" w:customStyle="1" w:styleId="TF">
    <w:name w:val="TF"/>
    <w:basedOn w:val="TH"/>
    <w:rsid w:val="00DF018A"/>
    <w:pPr>
      <w:keepNext w:val="0"/>
      <w:spacing w:before="0" w:after="240"/>
    </w:pPr>
  </w:style>
  <w:style w:type="paragraph" w:customStyle="1" w:styleId="NO">
    <w:name w:val="NO"/>
    <w:basedOn w:val="Normal"/>
    <w:rsid w:val="00DF018A"/>
    <w:pPr>
      <w:keepLines/>
      <w:ind w:left="1135" w:hanging="851"/>
    </w:pPr>
  </w:style>
  <w:style w:type="paragraph" w:styleId="TOC9">
    <w:name w:val="toc 9"/>
    <w:basedOn w:val="TOC8"/>
    <w:semiHidden/>
    <w:rsid w:val="00DF018A"/>
    <w:pPr>
      <w:ind w:left="1418" w:hanging="1418"/>
    </w:pPr>
  </w:style>
  <w:style w:type="paragraph" w:customStyle="1" w:styleId="EX">
    <w:name w:val="EX"/>
    <w:basedOn w:val="Normal"/>
    <w:rsid w:val="00DF018A"/>
    <w:pPr>
      <w:keepLines/>
      <w:ind w:left="1702" w:hanging="1418"/>
    </w:pPr>
  </w:style>
  <w:style w:type="paragraph" w:customStyle="1" w:styleId="FP">
    <w:name w:val="FP"/>
    <w:basedOn w:val="Normal"/>
    <w:rsid w:val="00DF018A"/>
    <w:pPr>
      <w:spacing w:after="0"/>
    </w:pPr>
  </w:style>
  <w:style w:type="paragraph" w:customStyle="1" w:styleId="LD">
    <w:name w:val="LD"/>
    <w:rsid w:val="00DF0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018A"/>
    <w:pPr>
      <w:spacing w:after="0"/>
    </w:pPr>
  </w:style>
  <w:style w:type="paragraph" w:customStyle="1" w:styleId="EW">
    <w:name w:val="EW"/>
    <w:basedOn w:val="EX"/>
    <w:rsid w:val="00DF018A"/>
    <w:pPr>
      <w:spacing w:after="0"/>
    </w:pPr>
  </w:style>
  <w:style w:type="paragraph" w:styleId="TOC6">
    <w:name w:val="toc 6"/>
    <w:basedOn w:val="TOC5"/>
    <w:next w:val="Normal"/>
    <w:semiHidden/>
    <w:rsid w:val="00DF018A"/>
    <w:pPr>
      <w:ind w:left="1985" w:hanging="1985"/>
    </w:pPr>
  </w:style>
  <w:style w:type="paragraph" w:styleId="TOC7">
    <w:name w:val="toc 7"/>
    <w:basedOn w:val="TOC6"/>
    <w:next w:val="Normal"/>
    <w:semiHidden/>
    <w:rsid w:val="00DF018A"/>
    <w:pPr>
      <w:ind w:left="2268" w:hanging="2268"/>
    </w:pPr>
  </w:style>
  <w:style w:type="paragraph" w:styleId="ListBullet2">
    <w:name w:val="List Bullet 2"/>
    <w:basedOn w:val="ListBullet"/>
    <w:semiHidden/>
    <w:rsid w:val="00DF018A"/>
    <w:pPr>
      <w:ind w:left="851"/>
    </w:pPr>
  </w:style>
  <w:style w:type="paragraph" w:styleId="ListBullet3">
    <w:name w:val="List Bullet 3"/>
    <w:basedOn w:val="ListBullet2"/>
    <w:semiHidden/>
    <w:rsid w:val="00DF018A"/>
    <w:pPr>
      <w:ind w:left="1135"/>
    </w:pPr>
  </w:style>
  <w:style w:type="paragraph" w:styleId="ListNumber">
    <w:name w:val="List Number"/>
    <w:basedOn w:val="List"/>
    <w:semiHidden/>
    <w:rsid w:val="00DF018A"/>
  </w:style>
  <w:style w:type="paragraph" w:customStyle="1" w:styleId="EQ">
    <w:name w:val="EQ"/>
    <w:basedOn w:val="Normal"/>
    <w:next w:val="Normal"/>
    <w:rsid w:val="00DF01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F01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01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1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018A"/>
    <w:pPr>
      <w:jc w:val="right"/>
    </w:pPr>
  </w:style>
  <w:style w:type="paragraph" w:customStyle="1" w:styleId="H6">
    <w:name w:val="H6"/>
    <w:basedOn w:val="Heading5"/>
    <w:next w:val="Normal"/>
    <w:rsid w:val="00DF01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F018A"/>
    <w:pPr>
      <w:ind w:left="851" w:hanging="851"/>
    </w:pPr>
  </w:style>
  <w:style w:type="paragraph" w:customStyle="1" w:styleId="TAL">
    <w:name w:val="TAL"/>
    <w:basedOn w:val="Normal"/>
    <w:link w:val="TALChar"/>
    <w:qFormat/>
    <w:rsid w:val="00DF01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01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01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01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01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018A"/>
    <w:pPr>
      <w:framePr w:wrap="notBeside" w:y="16161"/>
    </w:pPr>
  </w:style>
  <w:style w:type="character" w:customStyle="1" w:styleId="ZGSM">
    <w:name w:val="ZGSM"/>
    <w:rsid w:val="00DF018A"/>
  </w:style>
  <w:style w:type="paragraph" w:styleId="List2">
    <w:name w:val="List 2"/>
    <w:basedOn w:val="List"/>
    <w:semiHidden/>
    <w:rsid w:val="00DF018A"/>
    <w:pPr>
      <w:ind w:left="851"/>
    </w:pPr>
  </w:style>
  <w:style w:type="paragraph" w:customStyle="1" w:styleId="ZG">
    <w:name w:val="ZG"/>
    <w:rsid w:val="00DF01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018A"/>
    <w:pPr>
      <w:ind w:left="1135"/>
    </w:pPr>
  </w:style>
  <w:style w:type="paragraph" w:styleId="List4">
    <w:name w:val="List 4"/>
    <w:basedOn w:val="List3"/>
    <w:semiHidden/>
    <w:rsid w:val="00DF018A"/>
    <w:pPr>
      <w:ind w:left="1418"/>
    </w:pPr>
  </w:style>
  <w:style w:type="paragraph" w:styleId="List5">
    <w:name w:val="List 5"/>
    <w:basedOn w:val="List4"/>
    <w:semiHidden/>
    <w:rsid w:val="00DF018A"/>
    <w:pPr>
      <w:ind w:left="1702"/>
    </w:pPr>
  </w:style>
  <w:style w:type="paragraph" w:customStyle="1" w:styleId="EditorsNote">
    <w:name w:val="Editor's Note"/>
    <w:basedOn w:val="NO"/>
    <w:rsid w:val="00DF018A"/>
    <w:rPr>
      <w:color w:val="FF0000"/>
    </w:rPr>
  </w:style>
  <w:style w:type="paragraph" w:styleId="List">
    <w:name w:val="List"/>
    <w:basedOn w:val="Normal"/>
    <w:semiHidden/>
    <w:rsid w:val="00DF018A"/>
    <w:pPr>
      <w:ind w:left="568" w:hanging="284"/>
    </w:pPr>
  </w:style>
  <w:style w:type="paragraph" w:styleId="ListBullet">
    <w:name w:val="List Bullet"/>
    <w:basedOn w:val="List"/>
    <w:semiHidden/>
    <w:rsid w:val="00DF018A"/>
  </w:style>
  <w:style w:type="paragraph" w:styleId="ListBullet4">
    <w:name w:val="List Bullet 4"/>
    <w:basedOn w:val="ListBullet3"/>
    <w:semiHidden/>
    <w:rsid w:val="00DF018A"/>
    <w:pPr>
      <w:ind w:left="1418"/>
    </w:pPr>
  </w:style>
  <w:style w:type="paragraph" w:styleId="ListBullet5">
    <w:name w:val="List Bullet 5"/>
    <w:basedOn w:val="ListBullet4"/>
    <w:semiHidden/>
    <w:rsid w:val="00DF018A"/>
    <w:pPr>
      <w:ind w:left="1702"/>
    </w:pPr>
  </w:style>
  <w:style w:type="paragraph" w:customStyle="1" w:styleId="B1">
    <w:name w:val="B1"/>
    <w:basedOn w:val="List"/>
    <w:rsid w:val="00DF018A"/>
  </w:style>
  <w:style w:type="paragraph" w:customStyle="1" w:styleId="B2">
    <w:name w:val="B2"/>
    <w:basedOn w:val="List2"/>
    <w:rsid w:val="00DF018A"/>
  </w:style>
  <w:style w:type="paragraph" w:customStyle="1" w:styleId="B3">
    <w:name w:val="B3"/>
    <w:basedOn w:val="List3"/>
    <w:rsid w:val="00DF018A"/>
  </w:style>
  <w:style w:type="paragraph" w:customStyle="1" w:styleId="B4">
    <w:name w:val="B4"/>
    <w:basedOn w:val="List4"/>
    <w:rsid w:val="00DF018A"/>
  </w:style>
  <w:style w:type="paragraph" w:customStyle="1" w:styleId="B5">
    <w:name w:val="B5"/>
    <w:basedOn w:val="List5"/>
    <w:rsid w:val="00DF018A"/>
  </w:style>
  <w:style w:type="paragraph" w:styleId="Footer">
    <w:name w:val="footer"/>
    <w:basedOn w:val="Header"/>
    <w:rsid w:val="00DF018A"/>
    <w:pPr>
      <w:jc w:val="center"/>
    </w:pPr>
    <w:rPr>
      <w:i/>
    </w:rPr>
  </w:style>
  <w:style w:type="paragraph" w:customStyle="1" w:styleId="ZTD">
    <w:name w:val="ZTD"/>
    <w:basedOn w:val="ZB"/>
    <w:rsid w:val="00DF01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 w:eastAsia="fi-FI"/>
    </w:rPr>
  </w:style>
  <w:style w:type="character" w:customStyle="1" w:styleId="THChar">
    <w:name w:val="TH Char"/>
    <w:link w:val="TH"/>
    <w:rsid w:val="00C24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24C90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uiPriority w:val="59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rsid w:val="00A645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44776-D7F2-46B7-9525-DEF7C6632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1194</Words>
  <Characters>6564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Nokia-user</cp:lastModifiedBy>
  <cp:revision>2</cp:revision>
  <cp:lastPrinted>1900-01-01T05:59:00Z</cp:lastPrinted>
  <dcterms:created xsi:type="dcterms:W3CDTF">2019-04-01T17:03:00Z</dcterms:created>
  <dcterms:modified xsi:type="dcterms:W3CDTF">2019-04-01T17:03:00Z</dcterms:modified>
</cp:coreProperties>
</file>